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6795C5A5" w:rsidR="008018EB" w:rsidRDefault="007E6772" w:rsidP="00373381">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4B78C7">
        <w:rPr>
          <w:b/>
          <w:bCs/>
        </w:rPr>
        <w:t xml:space="preserve"> </w:t>
      </w:r>
      <w:r w:rsidR="001E3180">
        <w:rPr>
          <w:b/>
          <w:bCs/>
        </w:rPr>
        <w:t>1523</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2CFF460B"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1E3180">
        <w:t>30.07</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12A600E9"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936536" w:rsidRPr="00936536">
        <w:rPr>
          <w:b/>
          <w:bCs/>
          <w:sz w:val="22"/>
          <w:szCs w:val="22"/>
          <w:u w:val="single"/>
          <w:lang w:val="ru-RU"/>
        </w:rPr>
        <w:t>Поставка подшипников</w:t>
      </w:r>
      <w:r w:rsidR="002C3864" w:rsidRPr="002C3864">
        <w:rPr>
          <w:b/>
          <w:sz w:val="22"/>
          <w:szCs w:val="22"/>
          <w:u w:val="single"/>
          <w:lang w:val="ru-RU"/>
        </w:rPr>
        <w:t>;</w:t>
      </w:r>
    </w:p>
    <w:p w14:paraId="13D05595" w14:textId="0731211B" w:rsidR="006175A4" w:rsidRPr="002C3864" w:rsidRDefault="00800C7D" w:rsidP="00402A9D">
      <w:pPr>
        <w:pStyle w:val="af1"/>
        <w:spacing w:line="276" w:lineRule="auto"/>
        <w:ind w:firstLine="567"/>
        <w:jc w:val="both"/>
        <w:rPr>
          <w:sz w:val="22"/>
          <w:szCs w:val="22"/>
          <w:lang w:val="ru-RU"/>
        </w:rPr>
      </w:pPr>
      <w:r w:rsidRPr="00800C7D">
        <w:rPr>
          <w:b/>
          <w:bCs/>
          <w:sz w:val="22"/>
          <w:szCs w:val="22"/>
          <w:lang w:val="ru-RU"/>
        </w:rPr>
        <w:t>Количество (объем) товара, работ, услуг:</w:t>
      </w:r>
      <w:r w:rsidR="00BF254F" w:rsidRPr="00BF254F">
        <w:rPr>
          <w:b/>
          <w:bCs/>
          <w:sz w:val="22"/>
          <w:szCs w:val="22"/>
          <w:lang w:val="ru-RU"/>
        </w:rPr>
        <w:t xml:space="preserve"> </w:t>
      </w:r>
      <w:r w:rsidR="00936536" w:rsidRPr="00936536">
        <w:rPr>
          <w:bCs/>
          <w:sz w:val="22"/>
          <w:szCs w:val="22"/>
          <w:lang w:val="ru-RU"/>
        </w:rPr>
        <w:t>6 штук</w:t>
      </w:r>
      <w:r w:rsidR="00BF254F" w:rsidRPr="00CC4B9C">
        <w:rPr>
          <w:bCs/>
          <w:sz w:val="22"/>
          <w:szCs w:val="22"/>
          <w:lang w:val="ru-RU"/>
        </w:rPr>
        <w:t>;</w:t>
      </w:r>
    </w:p>
    <w:p w14:paraId="72F5BA29" w14:textId="5646028C" w:rsidR="00F375D2" w:rsidRDefault="00CC4B9C" w:rsidP="00823BC6">
      <w:pPr>
        <w:pStyle w:val="af1"/>
        <w:spacing w:line="276" w:lineRule="auto"/>
        <w:ind w:firstLine="567"/>
        <w:jc w:val="both"/>
        <w:rPr>
          <w:b/>
          <w:sz w:val="22"/>
          <w:szCs w:val="22"/>
          <w:lang w:val="ru-RU"/>
        </w:rPr>
      </w:pPr>
      <w:r w:rsidRPr="00CC4B9C">
        <w:rPr>
          <w:b/>
          <w:sz w:val="22"/>
          <w:szCs w:val="22"/>
          <w:lang w:val="ru-RU"/>
        </w:rPr>
        <w:t xml:space="preserve">Место поставки товара, выполнения работ, оказания услуг: </w:t>
      </w:r>
      <w:proofErr w:type="spellStart"/>
      <w:r w:rsidR="00800C7D" w:rsidRPr="00800C7D">
        <w:rPr>
          <w:bCs/>
          <w:sz w:val="22"/>
          <w:szCs w:val="22"/>
          <w:lang w:val="ru-RU"/>
        </w:rPr>
        <w:t>г.Йошкар</w:t>
      </w:r>
      <w:proofErr w:type="spellEnd"/>
      <w:r w:rsidR="00800C7D" w:rsidRPr="00800C7D">
        <w:rPr>
          <w:bCs/>
          <w:sz w:val="22"/>
          <w:szCs w:val="22"/>
          <w:lang w:val="ru-RU"/>
        </w:rPr>
        <w:t>-Ола, ул. Дружбы, д. 2</w:t>
      </w:r>
    </w:p>
    <w:p w14:paraId="62812B77" w14:textId="0A1B0A5F" w:rsidR="00F375D2" w:rsidRPr="006A4322" w:rsidRDefault="00CC4B9C" w:rsidP="00F375D2">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936536" w:rsidRPr="00936536">
        <w:rPr>
          <w:bCs/>
          <w:sz w:val="22"/>
          <w:szCs w:val="22"/>
          <w:lang w:val="ru-RU"/>
        </w:rPr>
        <w:t>Поставка Товара осуществляется в течение 25- и рабочих дней с момента получения Поставщиком предоплаты 50%.</w:t>
      </w:r>
    </w:p>
    <w:p w14:paraId="0CA3E6E7" w14:textId="790A427A" w:rsidR="00373381" w:rsidRPr="00F7308E" w:rsidRDefault="00365B18" w:rsidP="00402A9D">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936536" w:rsidRPr="00936536">
        <w:rPr>
          <w:sz w:val="22"/>
          <w:szCs w:val="22"/>
          <w:lang w:val="ru-RU"/>
        </w:rPr>
        <w:t>Поставка Товара осуществляется силами и за счет Поставщика.</w:t>
      </w:r>
    </w:p>
    <w:p w14:paraId="06DDE132" w14:textId="586388A4" w:rsidR="006175A4" w:rsidRPr="00F7308E"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936536" w:rsidRPr="00936536">
        <w:rPr>
          <w:b/>
          <w:bCs/>
          <w:sz w:val="22"/>
          <w:szCs w:val="22"/>
          <w:lang w:val="ru-RU"/>
        </w:rPr>
        <w:t>454 920 (Четыреста пятьдесят четыре тысячи девятьсот двадцать) руб. 00 коп.</w:t>
      </w:r>
    </w:p>
    <w:p w14:paraId="62BE5537" w14:textId="77777777" w:rsidR="00936536" w:rsidRPr="00936536" w:rsidRDefault="006175A4" w:rsidP="00936536">
      <w:pPr>
        <w:widowControl w:val="0"/>
        <w:shd w:val="clear" w:color="auto" w:fill="FFFFFF"/>
        <w:autoSpaceDE w:val="0"/>
        <w:autoSpaceDN w:val="0"/>
        <w:adjustRightInd w:val="0"/>
        <w:spacing w:line="276" w:lineRule="auto"/>
        <w:ind w:right="5" w:firstLine="567"/>
        <w:jc w:val="both"/>
        <w:rPr>
          <w:bCs/>
          <w:sz w:val="22"/>
          <w:szCs w:val="22"/>
          <w:lang w:bidi="ru-RU"/>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 </w:t>
      </w:r>
      <w:r w:rsidR="00936536" w:rsidRPr="00936536">
        <w:rPr>
          <w:bCs/>
          <w:sz w:val="22"/>
          <w:szCs w:val="22"/>
          <w:lang w:bidi="ru-RU"/>
        </w:rPr>
        <w:t xml:space="preserve">Оплата по Договору осуществляется по безналичному   расчету платежным поручением путем перечисления Заказчиком денежных средств на расчетный счет Поставщика. Расчеты   по   Договору Заказчик   производит   в   следующем порядке: </w:t>
      </w:r>
    </w:p>
    <w:p w14:paraId="3AD7FFCA" w14:textId="77777777" w:rsidR="00936536" w:rsidRPr="00936536" w:rsidRDefault="00936536" w:rsidP="00936536">
      <w:pPr>
        <w:widowControl w:val="0"/>
        <w:shd w:val="clear" w:color="auto" w:fill="FFFFFF"/>
        <w:autoSpaceDE w:val="0"/>
        <w:autoSpaceDN w:val="0"/>
        <w:adjustRightInd w:val="0"/>
        <w:spacing w:line="276" w:lineRule="auto"/>
        <w:ind w:right="5" w:firstLine="567"/>
        <w:jc w:val="both"/>
        <w:rPr>
          <w:bCs/>
          <w:sz w:val="22"/>
          <w:szCs w:val="22"/>
          <w:lang w:bidi="ru-RU"/>
        </w:rPr>
      </w:pPr>
      <w:r w:rsidRPr="00936536">
        <w:rPr>
          <w:bCs/>
          <w:sz w:val="22"/>
          <w:szCs w:val="22"/>
          <w:lang w:bidi="ru-RU"/>
        </w:rPr>
        <w:t xml:space="preserve">- предоплата в размере 50% от общей суммы договора; </w:t>
      </w:r>
    </w:p>
    <w:p w14:paraId="7A700570" w14:textId="0B7CB5F0" w:rsidR="002C3864" w:rsidRDefault="00936536" w:rsidP="00936536">
      <w:pPr>
        <w:widowControl w:val="0"/>
        <w:shd w:val="clear" w:color="auto" w:fill="FFFFFF"/>
        <w:autoSpaceDE w:val="0"/>
        <w:autoSpaceDN w:val="0"/>
        <w:adjustRightInd w:val="0"/>
        <w:spacing w:line="276" w:lineRule="auto"/>
        <w:ind w:right="5" w:firstLine="567"/>
        <w:jc w:val="both"/>
        <w:rPr>
          <w:sz w:val="22"/>
          <w:szCs w:val="22"/>
        </w:rPr>
      </w:pPr>
      <w:r w:rsidRPr="00936536">
        <w:rPr>
          <w:bCs/>
          <w:sz w:val="22"/>
          <w:szCs w:val="22"/>
          <w:lang w:bidi="ru-RU"/>
        </w:rPr>
        <w:t>- оставшиеся 50% - в течение 7-и рабочих дней после получения товара и подписания товарной накладной или УПД ответственными лицами Поставщика и Заказчика.</w:t>
      </w:r>
    </w:p>
    <w:p w14:paraId="368D8403" w14:textId="77777777" w:rsidR="00402A9D" w:rsidRDefault="00402A9D" w:rsidP="00402A9D">
      <w:pPr>
        <w:pStyle w:val="af1"/>
        <w:spacing w:line="276" w:lineRule="auto"/>
        <w:ind w:firstLine="567"/>
        <w:jc w:val="both"/>
        <w:rPr>
          <w:sz w:val="22"/>
          <w:szCs w:val="22"/>
          <w:lang w:val="ru-RU"/>
        </w:rPr>
      </w:pPr>
    </w:p>
    <w:p w14:paraId="6E0E3756" w14:textId="77777777"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7777777"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77777777"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142" w:type="dxa"/>
                </w:tcPr>
                <w:p w14:paraId="7F8279A5" w14:textId="2ED6AF8C" w:rsidR="00106CA7" w:rsidRPr="00365B18" w:rsidRDefault="00936536" w:rsidP="00365B18">
                  <w:pPr>
                    <w:ind w:firstLine="155"/>
                    <w:jc w:val="both"/>
                    <w:rPr>
                      <w:sz w:val="21"/>
                      <w:szCs w:val="21"/>
                    </w:rPr>
                  </w:pPr>
                  <w:r w:rsidRPr="00936536">
                    <w:rPr>
                      <w:sz w:val="21"/>
                      <w:szCs w:val="21"/>
                    </w:rPr>
                    <w:t>Отсутствует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77777777" w:rsidR="00220DBE" w:rsidRPr="00365B18" w:rsidRDefault="00220DBE" w:rsidP="00365B18">
                  <w:pPr>
                    <w:ind w:firstLine="33"/>
                    <w:jc w:val="both"/>
                    <w:rPr>
                      <w:sz w:val="21"/>
                      <w:szCs w:val="21"/>
                    </w:rPr>
                  </w:pPr>
                  <w:r w:rsidRPr="00365B18">
                    <w:rPr>
                      <w:sz w:val="21"/>
                      <w:szCs w:val="21"/>
                    </w:rPr>
                    <w:t>Член Единой 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77777777"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77777777"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77777777"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Pr="003A0AD4">
        <w:rPr>
          <w:sz w:val="22"/>
          <w:szCs w:val="22"/>
          <w:lang w:val="ru-RU"/>
        </w:rPr>
        <w:t xml:space="preserve">и </w:t>
      </w:r>
      <w:r w:rsidR="00A025A8" w:rsidRPr="003A0AD4">
        <w:rPr>
          <w:sz w:val="22"/>
          <w:szCs w:val="22"/>
          <w:lang w:val="ru-RU"/>
        </w:rPr>
        <w:t>приняла следующее решение:</w:t>
      </w:r>
    </w:p>
    <w:p w14:paraId="46EFB25F" w14:textId="6080FE0D"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B143CB">
        <w:rPr>
          <w:sz w:val="22"/>
          <w:szCs w:val="22"/>
          <w:lang w:val="ru-RU"/>
        </w:rPr>
        <w:t>19</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w:t>
      </w:r>
      <w:proofErr w:type="gramStart"/>
      <w:r w:rsidR="00167795" w:rsidRPr="00167795">
        <w:rPr>
          <w:sz w:val="22"/>
          <w:szCs w:val="22"/>
          <w:lang w:val="ru-RU"/>
        </w:rPr>
        <w:t>предприятия  «Водоканал»  г.</w:t>
      </w:r>
      <w:proofErr w:type="gramEnd"/>
      <w:r w:rsidR="00167795" w:rsidRPr="00167795">
        <w:rPr>
          <w:sz w:val="22"/>
          <w:szCs w:val="22"/>
          <w:lang w:val="ru-RU"/>
        </w:rPr>
        <w:t xml:space="preserve"> Йошкар-Олы» муниципального образования «Город Йошкар-Ола»</w:t>
      </w:r>
      <w:r w:rsidR="00365B18">
        <w:rPr>
          <w:sz w:val="22"/>
          <w:szCs w:val="22"/>
          <w:lang w:val="ru-RU"/>
        </w:rPr>
        <w:t>:</w:t>
      </w:r>
    </w:p>
    <w:p w14:paraId="453275A0" w14:textId="77777777" w:rsidR="00B143CB" w:rsidRDefault="00B143CB" w:rsidP="00C153E8">
      <w:pPr>
        <w:pStyle w:val="af1"/>
        <w:spacing w:line="276" w:lineRule="auto"/>
        <w:ind w:firstLine="851"/>
        <w:jc w:val="both"/>
        <w:rPr>
          <w:sz w:val="22"/>
          <w:szCs w:val="22"/>
          <w:lang w:val="ru-RU"/>
        </w:rPr>
      </w:pPr>
    </w:p>
    <w:p w14:paraId="71955A0F" w14:textId="3638EEC7" w:rsidR="00D86320" w:rsidRDefault="00167795" w:rsidP="00C153E8">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B143CB" w:rsidRPr="00B143CB">
        <w:rPr>
          <w:sz w:val="22"/>
          <w:szCs w:val="22"/>
          <w:lang w:val="ru-RU"/>
        </w:rPr>
        <w:t>19) в случае, если проводится закупка товаров, работ, услуг на сумму до пятьсот тысяч рублей включительно с учетом НДС и/или иных видов налогов</w:t>
      </w:r>
      <w:r w:rsidR="006D7B6C" w:rsidRPr="00402A9D">
        <w:rPr>
          <w:sz w:val="22"/>
          <w:szCs w:val="22"/>
          <w:lang w:val="ru-RU"/>
        </w:rPr>
        <w:t>,</w:t>
      </w:r>
      <w:r w:rsidR="006D7B6C" w:rsidRPr="00402A9D">
        <w:rPr>
          <w:lang w:val="ru-RU"/>
        </w:rPr>
        <w:t xml:space="preserve"> </w:t>
      </w:r>
      <w:r w:rsidR="006D7B6C" w:rsidRPr="00402A9D">
        <w:rPr>
          <w:sz w:val="22"/>
          <w:szCs w:val="22"/>
          <w:lang w:val="ru-RU"/>
        </w:rPr>
        <w:t xml:space="preserve">заключить договор на </w:t>
      </w:r>
      <w:r w:rsidR="00800C7D">
        <w:rPr>
          <w:sz w:val="22"/>
          <w:szCs w:val="22"/>
          <w:lang w:val="ru-RU"/>
        </w:rPr>
        <w:t xml:space="preserve">поставку </w:t>
      </w:r>
      <w:r w:rsidR="00936536" w:rsidRPr="00936536">
        <w:rPr>
          <w:bCs/>
          <w:sz w:val="22"/>
          <w:szCs w:val="22"/>
          <w:lang w:val="ru-RU"/>
        </w:rPr>
        <w:t>подшипников</w:t>
      </w:r>
      <w:r w:rsidR="006D7B6C" w:rsidRPr="00CC4B9C">
        <w:rPr>
          <w:sz w:val="22"/>
          <w:szCs w:val="22"/>
          <w:lang w:val="ru-RU"/>
        </w:rPr>
        <w:t xml:space="preserve"> </w:t>
      </w:r>
      <w:r w:rsidR="006D7B6C" w:rsidRPr="006D7B6C">
        <w:rPr>
          <w:sz w:val="22"/>
          <w:szCs w:val="22"/>
          <w:lang w:val="ru-RU"/>
        </w:rPr>
        <w:t>с единственным исполнителем:</w:t>
      </w:r>
      <w:r w:rsidR="006D7B6C">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2A3EBB6C" w14:textId="77777777" w:rsidR="00800C7D" w:rsidRDefault="00800C7D" w:rsidP="00D02F81">
      <w:pPr>
        <w:spacing w:line="276" w:lineRule="auto"/>
        <w:ind w:left="426" w:right="-77"/>
        <w:jc w:val="center"/>
        <w:rPr>
          <w:b/>
          <w:bCs/>
          <w:sz w:val="22"/>
          <w:szCs w:val="22"/>
        </w:rPr>
      </w:pPr>
    </w:p>
    <w:p w14:paraId="428CD63B" w14:textId="77777777" w:rsidR="00800C7D" w:rsidRDefault="00800C7D" w:rsidP="00D02F81">
      <w:pPr>
        <w:spacing w:line="276" w:lineRule="auto"/>
        <w:ind w:left="426" w:right="-77"/>
        <w:jc w:val="center"/>
        <w:rPr>
          <w:b/>
          <w:bCs/>
          <w:sz w:val="22"/>
          <w:szCs w:val="22"/>
        </w:rPr>
      </w:pPr>
    </w:p>
    <w:p w14:paraId="165D5834" w14:textId="77777777" w:rsidR="008831D4" w:rsidRDefault="008831D4" w:rsidP="008831D4">
      <w:pPr>
        <w:spacing w:line="276" w:lineRule="auto"/>
        <w:ind w:left="426" w:right="-77"/>
        <w:jc w:val="center"/>
        <w:rPr>
          <w:b/>
          <w:bCs/>
          <w:sz w:val="22"/>
          <w:szCs w:val="22"/>
        </w:rPr>
      </w:pPr>
      <w:r w:rsidRPr="008831D4">
        <w:rPr>
          <w:b/>
          <w:bCs/>
          <w:sz w:val="22"/>
          <w:szCs w:val="22"/>
        </w:rPr>
        <w:t>ОБЩЕСТВО С ОГРАНИЧЕННОЙ</w:t>
      </w:r>
      <w:r>
        <w:rPr>
          <w:b/>
          <w:bCs/>
          <w:sz w:val="22"/>
          <w:szCs w:val="22"/>
        </w:rPr>
        <w:t xml:space="preserve"> </w:t>
      </w:r>
      <w:r w:rsidRPr="008831D4">
        <w:rPr>
          <w:b/>
          <w:bCs/>
          <w:sz w:val="22"/>
          <w:szCs w:val="22"/>
        </w:rPr>
        <w:t xml:space="preserve">ОТВЕТСТВЕННОСТЬЮ </w:t>
      </w:r>
    </w:p>
    <w:p w14:paraId="77A1F0DA" w14:textId="201DA7D2" w:rsidR="006D7B6C" w:rsidRDefault="008831D4" w:rsidP="008831D4">
      <w:pPr>
        <w:spacing w:line="276" w:lineRule="auto"/>
        <w:ind w:left="426" w:right="-77"/>
        <w:jc w:val="center"/>
        <w:rPr>
          <w:b/>
          <w:bCs/>
          <w:sz w:val="22"/>
          <w:szCs w:val="22"/>
        </w:rPr>
      </w:pPr>
      <w:r w:rsidRPr="008831D4">
        <w:rPr>
          <w:b/>
          <w:bCs/>
          <w:sz w:val="22"/>
          <w:szCs w:val="22"/>
        </w:rPr>
        <w:t>"ТОРГОВАЯ</w:t>
      </w:r>
      <w:r>
        <w:rPr>
          <w:b/>
          <w:bCs/>
          <w:sz w:val="22"/>
          <w:szCs w:val="22"/>
        </w:rPr>
        <w:t xml:space="preserve"> </w:t>
      </w:r>
      <w:r w:rsidRPr="008831D4">
        <w:rPr>
          <w:b/>
          <w:bCs/>
          <w:sz w:val="22"/>
          <w:szCs w:val="22"/>
        </w:rPr>
        <w:t>КОМПАНИЯ "АЗИМУТ"</w:t>
      </w:r>
      <w:r w:rsidR="00F375D2" w:rsidRPr="00F375D2">
        <w:rPr>
          <w:b/>
          <w:bCs/>
          <w:sz w:val="22"/>
          <w:szCs w:val="22"/>
        </w:rPr>
        <w:cr/>
      </w:r>
    </w:p>
    <w:p w14:paraId="1AA1E1FE" w14:textId="5639FA3D" w:rsidR="00423DB7" w:rsidRDefault="009A4374" w:rsidP="006D7B6C">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8831D4" w:rsidRPr="008831D4">
        <w:rPr>
          <w:b/>
          <w:bCs/>
          <w:sz w:val="22"/>
          <w:szCs w:val="22"/>
        </w:rPr>
        <w:t>2130012321</w:t>
      </w:r>
      <w:r w:rsidR="00800C7D" w:rsidRPr="00800C7D">
        <w:rPr>
          <w:b/>
          <w:bCs/>
          <w:sz w:val="22"/>
          <w:szCs w:val="22"/>
        </w:rPr>
        <w:t xml:space="preserve"> </w:t>
      </w:r>
      <w:r w:rsidR="001D3991">
        <w:rPr>
          <w:b/>
          <w:bCs/>
          <w:sz w:val="22"/>
          <w:szCs w:val="22"/>
        </w:rPr>
        <w:t>/</w:t>
      </w:r>
      <w:r w:rsidR="00800C7D" w:rsidRPr="00800C7D">
        <w:t xml:space="preserve"> </w:t>
      </w:r>
      <w:r w:rsidR="008831D4" w:rsidRPr="008831D4">
        <w:rPr>
          <w:b/>
          <w:bCs/>
          <w:sz w:val="22"/>
          <w:szCs w:val="22"/>
        </w:rPr>
        <w:t>213001001</w:t>
      </w:r>
    </w:p>
    <w:p w14:paraId="44DE6BA1" w14:textId="5B412ECE" w:rsidR="008831D4" w:rsidRPr="008831D4" w:rsidRDefault="001D3991" w:rsidP="008831D4">
      <w:pPr>
        <w:spacing w:line="276" w:lineRule="auto"/>
        <w:ind w:left="426" w:right="-77"/>
        <w:jc w:val="center"/>
        <w:rPr>
          <w:bCs/>
          <w:iCs/>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8831D4" w:rsidRPr="008831D4">
        <w:rPr>
          <w:bCs/>
          <w:iCs/>
          <w:sz w:val="22"/>
          <w:szCs w:val="22"/>
        </w:rPr>
        <w:t>428020,</w:t>
      </w:r>
      <w:r w:rsidR="008831D4">
        <w:rPr>
          <w:bCs/>
          <w:iCs/>
          <w:sz w:val="22"/>
          <w:szCs w:val="22"/>
        </w:rPr>
        <w:t xml:space="preserve"> </w:t>
      </w:r>
      <w:r w:rsidR="008831D4" w:rsidRPr="008831D4">
        <w:rPr>
          <w:bCs/>
          <w:iCs/>
          <w:sz w:val="22"/>
          <w:szCs w:val="22"/>
        </w:rPr>
        <w:t>ЧУВАШСКАЯ РЕСПУБЛИКА -</w:t>
      </w:r>
      <w:r w:rsidR="008831D4">
        <w:rPr>
          <w:bCs/>
          <w:iCs/>
          <w:sz w:val="22"/>
          <w:szCs w:val="22"/>
        </w:rPr>
        <w:t xml:space="preserve"> </w:t>
      </w:r>
      <w:r w:rsidR="008831D4" w:rsidRPr="008831D4">
        <w:rPr>
          <w:bCs/>
          <w:iCs/>
          <w:sz w:val="22"/>
          <w:szCs w:val="22"/>
        </w:rPr>
        <w:t>ЧУВАШИЯ,</w:t>
      </w:r>
    </w:p>
    <w:p w14:paraId="4F679E6C" w14:textId="53107FBC" w:rsidR="00423DB7" w:rsidRPr="00423DB7" w:rsidRDefault="008831D4" w:rsidP="008831D4">
      <w:pPr>
        <w:spacing w:line="276" w:lineRule="auto"/>
        <w:ind w:left="426" w:right="-77"/>
        <w:jc w:val="center"/>
        <w:rPr>
          <w:b/>
          <w:sz w:val="22"/>
          <w:szCs w:val="22"/>
        </w:rPr>
      </w:pPr>
      <w:r w:rsidRPr="008831D4">
        <w:rPr>
          <w:bCs/>
          <w:iCs/>
          <w:sz w:val="22"/>
          <w:szCs w:val="22"/>
        </w:rPr>
        <w:t>Г. ЧЕБОКСАРЫ,</w:t>
      </w:r>
      <w:r>
        <w:rPr>
          <w:bCs/>
          <w:iCs/>
          <w:sz w:val="22"/>
          <w:szCs w:val="22"/>
        </w:rPr>
        <w:t xml:space="preserve"> </w:t>
      </w:r>
      <w:r w:rsidRPr="008831D4">
        <w:rPr>
          <w:bCs/>
          <w:iCs/>
          <w:sz w:val="22"/>
          <w:szCs w:val="22"/>
        </w:rPr>
        <w:t>ПР-Д БАЗОВЫЙ,</w:t>
      </w:r>
      <w:r>
        <w:rPr>
          <w:bCs/>
          <w:iCs/>
          <w:sz w:val="22"/>
          <w:szCs w:val="22"/>
        </w:rPr>
        <w:t xml:space="preserve"> </w:t>
      </w:r>
      <w:r w:rsidRPr="008831D4">
        <w:rPr>
          <w:bCs/>
          <w:iCs/>
          <w:sz w:val="22"/>
          <w:szCs w:val="22"/>
        </w:rPr>
        <w:t>Д.4,</w:t>
      </w:r>
      <w:r>
        <w:rPr>
          <w:bCs/>
          <w:iCs/>
          <w:sz w:val="22"/>
          <w:szCs w:val="22"/>
        </w:rPr>
        <w:t xml:space="preserve"> </w:t>
      </w:r>
      <w:r w:rsidRPr="008831D4">
        <w:rPr>
          <w:bCs/>
          <w:iCs/>
          <w:sz w:val="22"/>
          <w:szCs w:val="22"/>
        </w:rPr>
        <w:t>К.А</w:t>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89356" w14:textId="77777777" w:rsidTr="00B23DF1">
        <w:trPr>
          <w:trHeight w:val="166"/>
        </w:trPr>
        <w:tc>
          <w:tcPr>
            <w:tcW w:w="8188" w:type="dxa"/>
          </w:tcPr>
          <w:p w14:paraId="5743E1A9" w14:textId="77777777" w:rsidR="00F375D2" w:rsidRPr="00ED1C47" w:rsidRDefault="00F375D2" w:rsidP="00B23DF1">
            <w:pPr>
              <w:spacing w:line="600" w:lineRule="auto"/>
              <w:jc w:val="both"/>
              <w:rPr>
                <w:sz w:val="22"/>
                <w:szCs w:val="22"/>
              </w:rPr>
            </w:pPr>
            <w:r w:rsidRPr="00ED1C47">
              <w:rPr>
                <w:sz w:val="22"/>
                <w:szCs w:val="22"/>
              </w:rPr>
              <w:t>Председатель Единой комиссии:</w:t>
            </w:r>
          </w:p>
        </w:tc>
        <w:tc>
          <w:tcPr>
            <w:tcW w:w="2379" w:type="dxa"/>
          </w:tcPr>
          <w:p w14:paraId="6234FBB1" w14:textId="77777777" w:rsidR="00F375D2" w:rsidRPr="00ED1C47" w:rsidRDefault="00F375D2" w:rsidP="00B23DF1">
            <w:pPr>
              <w:spacing w:line="600" w:lineRule="auto"/>
              <w:jc w:val="both"/>
              <w:rPr>
                <w:bCs/>
                <w:sz w:val="22"/>
                <w:szCs w:val="22"/>
              </w:rPr>
            </w:pPr>
            <w:r w:rsidRPr="00ED1C47">
              <w:rPr>
                <w:bCs/>
                <w:sz w:val="22"/>
                <w:szCs w:val="22"/>
              </w:rPr>
              <w:t>Синяев А.В.</w:t>
            </w:r>
          </w:p>
        </w:tc>
      </w:tr>
      <w:tr w:rsidR="00F375D2" w:rsidRPr="003A0AD4" w14:paraId="0AA2F449" w14:textId="77777777" w:rsidTr="00B23DF1">
        <w:trPr>
          <w:trHeight w:val="166"/>
        </w:trPr>
        <w:tc>
          <w:tcPr>
            <w:tcW w:w="8188" w:type="dxa"/>
          </w:tcPr>
          <w:p w14:paraId="36639ACC" w14:textId="77777777" w:rsidR="00F375D2" w:rsidRPr="00ED1C47" w:rsidRDefault="00F375D2" w:rsidP="00B23DF1">
            <w:pPr>
              <w:spacing w:line="600" w:lineRule="auto"/>
              <w:jc w:val="both"/>
              <w:rPr>
                <w:sz w:val="22"/>
                <w:szCs w:val="22"/>
              </w:rPr>
            </w:pPr>
            <w:r w:rsidRPr="00ED1C47">
              <w:rPr>
                <w:sz w:val="22"/>
                <w:szCs w:val="22"/>
              </w:rPr>
              <w:t>Член Единой комиссии:</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77777777" w:rsidR="00F375D2" w:rsidRPr="00ED1C47" w:rsidRDefault="00F375D2" w:rsidP="00B23DF1">
            <w:pPr>
              <w:spacing w:line="600" w:lineRule="auto"/>
              <w:jc w:val="both"/>
              <w:rPr>
                <w:sz w:val="22"/>
                <w:szCs w:val="22"/>
              </w:rPr>
            </w:pPr>
            <w:r w:rsidRPr="00ED1C47">
              <w:rPr>
                <w:sz w:val="22"/>
                <w:szCs w:val="22"/>
              </w:rPr>
              <w:t>Секретарь Единой комиссии:</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4F8008" w14:textId="77777777" w:rsidR="00BE26C3" w:rsidRDefault="00BE26C3">
      <w:r>
        <w:separator/>
      </w:r>
    </w:p>
  </w:endnote>
  <w:endnote w:type="continuationSeparator" w:id="0">
    <w:p w14:paraId="1F2A8834" w14:textId="77777777" w:rsidR="00BE26C3" w:rsidRDefault="00BE2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AF40EB" w14:textId="77777777" w:rsidR="00BE26C3" w:rsidRDefault="00BE26C3">
      <w:r>
        <w:separator/>
      </w:r>
    </w:p>
  </w:footnote>
  <w:footnote w:type="continuationSeparator" w:id="0">
    <w:p w14:paraId="75470030" w14:textId="77777777" w:rsidR="00BE26C3" w:rsidRDefault="00BE26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3E89"/>
    <w:rsid w:val="00165705"/>
    <w:rsid w:val="00165A4A"/>
    <w:rsid w:val="00165C14"/>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3180"/>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07B7"/>
    <w:rsid w:val="002E1528"/>
    <w:rsid w:val="002E7894"/>
    <w:rsid w:val="002F56F8"/>
    <w:rsid w:val="00304183"/>
    <w:rsid w:val="00304376"/>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0582"/>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409C"/>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E48DA"/>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0C7D"/>
    <w:rsid w:val="008018EB"/>
    <w:rsid w:val="00812062"/>
    <w:rsid w:val="00817B08"/>
    <w:rsid w:val="00822D68"/>
    <w:rsid w:val="00823BC6"/>
    <w:rsid w:val="00824DF5"/>
    <w:rsid w:val="0082677B"/>
    <w:rsid w:val="00826CA0"/>
    <w:rsid w:val="008323F4"/>
    <w:rsid w:val="008342F2"/>
    <w:rsid w:val="00837A3E"/>
    <w:rsid w:val="008452BC"/>
    <w:rsid w:val="00845E8E"/>
    <w:rsid w:val="0085098D"/>
    <w:rsid w:val="0085656D"/>
    <w:rsid w:val="008656C2"/>
    <w:rsid w:val="00865BAF"/>
    <w:rsid w:val="00866365"/>
    <w:rsid w:val="008677A7"/>
    <w:rsid w:val="0087464B"/>
    <w:rsid w:val="00877354"/>
    <w:rsid w:val="00882BC3"/>
    <w:rsid w:val="008831D4"/>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F0110"/>
    <w:rsid w:val="008F2508"/>
    <w:rsid w:val="008F25CE"/>
    <w:rsid w:val="008F7C1D"/>
    <w:rsid w:val="009009F2"/>
    <w:rsid w:val="00900CE6"/>
    <w:rsid w:val="009129D6"/>
    <w:rsid w:val="00923538"/>
    <w:rsid w:val="009250B6"/>
    <w:rsid w:val="0093177C"/>
    <w:rsid w:val="00933842"/>
    <w:rsid w:val="00936536"/>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E26C3"/>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0D51"/>
    <w:rsid w:val="00D14547"/>
    <w:rsid w:val="00D15C71"/>
    <w:rsid w:val="00D15E2E"/>
    <w:rsid w:val="00D169A6"/>
    <w:rsid w:val="00D16EBF"/>
    <w:rsid w:val="00D20F04"/>
    <w:rsid w:val="00D223E2"/>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A6C5E"/>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428</Words>
  <Characters>2441</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2025-07-30T05:02:00Z</dcterms:created>
  <dcterms:modified xsi:type="dcterms:W3CDTF">2025-07-30T05:02:00Z</dcterms:modified>
</cp:coreProperties>
</file>