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B5" w:rsidRDefault="008D79B5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0022A">
        <w:rPr>
          <w:rFonts w:ascii="Times New Roman" w:hAnsi="Times New Roman" w:cs="Times New Roman"/>
          <w:b/>
          <w:sz w:val="24"/>
          <w:szCs w:val="24"/>
        </w:rPr>
        <w:t>11</w:t>
      </w:r>
      <w:r w:rsidR="008D79B5">
        <w:rPr>
          <w:rFonts w:ascii="Times New Roman" w:hAnsi="Times New Roman" w:cs="Times New Roman"/>
          <w:b/>
          <w:sz w:val="24"/>
          <w:szCs w:val="24"/>
        </w:rPr>
        <w:t>20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D79B5">
        <w:rPr>
          <w:rFonts w:ascii="Times New Roman" w:hAnsi="Times New Roman" w:cs="Times New Roman"/>
        </w:rPr>
        <w:t>23</w:t>
      </w:r>
      <w:r w:rsidRPr="004A380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мая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D79B5" w:rsidRPr="008D79B5">
        <w:rPr>
          <w:rFonts w:ascii="Times New Roman" w:hAnsi="Times New Roman" w:cs="Times New Roman"/>
          <w:b/>
          <w:bCs/>
        </w:rPr>
        <w:t>Поставка фланцев, отводов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8D79B5" w:rsidRPr="008D79B5">
        <w:rPr>
          <w:rFonts w:ascii="Times New Roman" w:hAnsi="Times New Roman"/>
          <w:b/>
        </w:rPr>
        <w:t>656 штук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8D79B5" w:rsidRPr="008D79B5">
        <w:rPr>
          <w:rFonts w:ascii="Times New Roman" w:eastAsia="Calibri" w:hAnsi="Times New Roman" w:cs="Times New Roman"/>
          <w:b/>
        </w:rPr>
        <w:t>1 842 805 (Один миллион восемьсот сорок две тысячи восемьсот пять) руб. 72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8D79B5" w:rsidRPr="008D79B5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8D79B5" w:rsidRPr="008D79B5">
        <w:rPr>
          <w:rFonts w:ascii="Times New Roman" w:hAnsi="Times New Roman" w:cs="Times New Roman"/>
          <w:bCs/>
        </w:rPr>
        <w:t>поставка осуществляется отдельными партиями в течении 10 рабочих дней с момента подачи заявки Заказчиком. Заявка подается с момента заключения договора по 31 декабря 2023г.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123F87">
        <w:rPr>
          <w:rFonts w:ascii="Times New Roman" w:hAnsi="Times New Roman" w:cs="Times New Roman"/>
        </w:rPr>
        <w:t>28</w:t>
      </w:r>
      <w:r w:rsidRPr="00A6641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апреля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8D79B5">
        <w:rPr>
          <w:rFonts w:ascii="Times New Roman" w:hAnsi="Times New Roman" w:cs="Times New Roman"/>
        </w:rPr>
        <w:t>32312342174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8D79B5">
        <w:rPr>
          <w:rFonts w:ascii="Times New Roman" w:hAnsi="Times New Roman" w:cs="Times New Roman"/>
        </w:rPr>
        <w:t>2732647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8D79B5">
        <w:rPr>
          <w:rFonts w:ascii="Times New Roman" w:hAnsi="Times New Roman" w:cs="Times New Roman"/>
        </w:rPr>
        <w:t>15</w:t>
      </w:r>
      <w:r w:rsidRPr="006A095A">
        <w:rPr>
          <w:rFonts w:ascii="Times New Roman" w:hAnsi="Times New Roman" w:cs="Times New Roman"/>
        </w:rPr>
        <w:t xml:space="preserve">» </w:t>
      </w:r>
      <w:r w:rsidR="00C0022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63A4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25F11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8D79B5">
        <w:rPr>
          <w:rFonts w:ascii="Times New Roman" w:hAnsi="Times New Roman" w:cs="Times New Roman"/>
        </w:rPr>
        <w:t>9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8D79B5">
        <w:rPr>
          <w:rFonts w:ascii="Times New Roman" w:hAnsi="Times New Roman" w:cs="Times New Roman"/>
        </w:rPr>
        <w:t>девять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8D79B5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8D79B5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8D79B5" w:rsidRDefault="008D79B5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862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6379"/>
      </w:tblGrid>
      <w:tr w:rsidR="008D79B5" w:rsidRPr="00397E44" w:rsidTr="00F93442">
        <w:trPr>
          <w:trHeight w:val="1119"/>
        </w:trPr>
        <w:tc>
          <w:tcPr>
            <w:tcW w:w="2250" w:type="dxa"/>
            <w:vAlign w:val="center"/>
          </w:tcPr>
          <w:p w:rsidR="008D79B5" w:rsidRPr="00397E44" w:rsidRDefault="008D79B5" w:rsidP="00F93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8D79B5" w:rsidRPr="00397E44" w:rsidRDefault="008D79B5" w:rsidP="00F93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Pr="00397E44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8D79B5" w:rsidRPr="00397E44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05.05</w:t>
            </w:r>
            <w:r w:rsidRPr="00A74B5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A74B5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Pr="00397E44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05.05</w:t>
            </w:r>
            <w:r w:rsidRPr="00A74B5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A74B5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A74B51">
              <w:rPr>
                <w:rFonts w:ascii="Times New Roman" w:hAnsi="Times New Roman" w:cs="Times New Roman"/>
                <w:bCs/>
              </w:rPr>
              <w:t>8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8D79B5" w:rsidRPr="000139AC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8D79B5" w:rsidRPr="00483DBD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</w:tcPr>
          <w:p w:rsidR="008D79B5" w:rsidRPr="00483DBD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04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</w:tcPr>
          <w:p w:rsidR="008D79B5" w:rsidRPr="00483DBD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</w:tcPr>
          <w:p w:rsidR="008D79B5" w:rsidRPr="00483DBD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83DBD">
              <w:rPr>
                <w:rFonts w:ascii="Times New Roman" w:hAnsi="Times New Roman" w:cs="Times New Roman"/>
                <w:bCs/>
              </w:rPr>
              <w:t>:4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D79B5" w:rsidRPr="00397E44" w:rsidTr="00F93442">
        <w:trPr>
          <w:trHeight w:val="248"/>
        </w:trPr>
        <w:tc>
          <w:tcPr>
            <w:tcW w:w="2250" w:type="dxa"/>
          </w:tcPr>
          <w:p w:rsidR="008D79B5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</w:tcPr>
          <w:p w:rsidR="008D79B5" w:rsidRPr="00483DBD" w:rsidRDefault="008D79B5" w:rsidP="00F934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8D79B5">
        <w:rPr>
          <w:rFonts w:ascii="Times New Roman" w:hAnsi="Times New Roman" w:cs="Times New Roman"/>
          <w:bCs/>
        </w:rPr>
        <w:t>, 3, 4, 6, 7, 8, 9, 10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79B5" w:rsidRPr="00960930" w:rsidTr="001E43FD">
        <w:trPr>
          <w:trHeight w:val="1549"/>
        </w:trPr>
        <w:tc>
          <w:tcPr>
            <w:tcW w:w="1702" w:type="dxa"/>
          </w:tcPr>
          <w:p w:rsidR="008D79B5" w:rsidRDefault="008D79B5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8D79B5" w:rsidRPr="00D33709" w:rsidRDefault="008D79B5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79B5" w:rsidRPr="00960930" w:rsidTr="001E43FD">
        <w:trPr>
          <w:trHeight w:val="1549"/>
        </w:trPr>
        <w:tc>
          <w:tcPr>
            <w:tcW w:w="1702" w:type="dxa"/>
          </w:tcPr>
          <w:p w:rsidR="008D79B5" w:rsidRDefault="008D79B5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8D79B5" w:rsidRPr="00D33709" w:rsidRDefault="008D79B5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79B5" w:rsidRPr="00960930" w:rsidTr="001E43FD">
        <w:trPr>
          <w:trHeight w:val="1549"/>
        </w:trPr>
        <w:tc>
          <w:tcPr>
            <w:tcW w:w="1702" w:type="dxa"/>
          </w:tcPr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8D79B5" w:rsidRPr="00D33709" w:rsidRDefault="008D79B5" w:rsidP="008D79B5">
            <w:pPr>
              <w:pageBreakBefore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79B5" w:rsidRPr="00960930" w:rsidTr="001E43FD">
        <w:trPr>
          <w:trHeight w:val="1549"/>
        </w:trPr>
        <w:tc>
          <w:tcPr>
            <w:tcW w:w="1702" w:type="dxa"/>
          </w:tcPr>
          <w:p w:rsidR="008D79B5" w:rsidRDefault="008D79B5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8D79B5" w:rsidRPr="00D33709" w:rsidRDefault="008D79B5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79B5" w:rsidRPr="00960930" w:rsidTr="001E43FD">
        <w:trPr>
          <w:trHeight w:val="1549"/>
        </w:trPr>
        <w:tc>
          <w:tcPr>
            <w:tcW w:w="1702" w:type="dxa"/>
          </w:tcPr>
          <w:p w:rsidR="008D79B5" w:rsidRDefault="008D79B5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8D79B5" w:rsidRPr="00D33709" w:rsidRDefault="008D79B5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79B5" w:rsidRPr="00960930" w:rsidTr="001E43FD">
        <w:trPr>
          <w:trHeight w:val="1549"/>
        </w:trPr>
        <w:tc>
          <w:tcPr>
            <w:tcW w:w="1702" w:type="dxa"/>
          </w:tcPr>
          <w:p w:rsidR="008D79B5" w:rsidRDefault="008D79B5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8D79B5" w:rsidRPr="00D33709" w:rsidRDefault="008D79B5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D79B5" w:rsidRPr="00960930" w:rsidTr="001E43FD">
        <w:trPr>
          <w:trHeight w:val="1549"/>
        </w:trPr>
        <w:tc>
          <w:tcPr>
            <w:tcW w:w="1702" w:type="dxa"/>
          </w:tcPr>
          <w:p w:rsidR="008D79B5" w:rsidRDefault="008D79B5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8D79B5" w:rsidRPr="00D33709" w:rsidRDefault="008D79B5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79B5" w:rsidRDefault="008D79B5" w:rsidP="008D79B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851F16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967 471,85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851F16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976 685,88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D79B5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D79B5" w:rsidRPr="007F53DC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90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1 031 970,79 руб.</w:t>
            </w:r>
          </w:p>
        </w:tc>
      </w:tr>
      <w:tr w:rsidR="008D79B5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D79B5" w:rsidRPr="007F53DC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90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1 170 181,63 руб.</w:t>
            </w:r>
          </w:p>
        </w:tc>
      </w:tr>
      <w:tr w:rsidR="008D79B5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D79B5" w:rsidRPr="007F53DC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0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1 271 535,96 руб.</w:t>
            </w:r>
          </w:p>
        </w:tc>
      </w:tr>
      <w:tr w:rsidR="008D79B5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D79B5" w:rsidRPr="007F53DC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90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1 492 672,64 руб.</w:t>
            </w:r>
          </w:p>
        </w:tc>
      </w:tr>
      <w:tr w:rsidR="008D79B5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D79B5" w:rsidRPr="007F53DC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252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0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1 815 163,63 руб.</w:t>
            </w:r>
          </w:p>
        </w:tc>
      </w:tr>
      <w:tr w:rsidR="008D79B5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D79B5" w:rsidRPr="007F53DC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252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0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  <w:tr w:rsidR="008D79B5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D79B5" w:rsidRPr="007F53DC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252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90" w:type="dxa"/>
            <w:vAlign w:val="center"/>
          </w:tcPr>
          <w:p w:rsidR="008D79B5" w:rsidRDefault="001C7C3F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1C7C3F">
        <w:rPr>
          <w:rFonts w:ascii="Times New Roman" w:hAnsi="Times New Roman" w:cs="Times New Roman"/>
          <w:b/>
          <w:bCs/>
          <w:u w:val="single"/>
        </w:rPr>
        <w:t>2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1C7C3F">
        <w:rPr>
          <w:rFonts w:ascii="Times New Roman" w:hAnsi="Times New Roman" w:cs="Times New Roman"/>
          <w:b/>
        </w:rPr>
        <w:t>967 471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1C7C3F">
        <w:rPr>
          <w:rFonts w:ascii="Times New Roman" w:hAnsi="Times New Roman" w:cs="Times New Roman"/>
          <w:b/>
        </w:rPr>
        <w:t>Девятьсот шестьдесят семь тысяч четыреста семьдесят один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1C7C3F">
        <w:rPr>
          <w:rFonts w:ascii="Times New Roman" w:hAnsi="Times New Roman" w:cs="Times New Roman"/>
          <w:b/>
        </w:rPr>
        <w:t>8</w:t>
      </w:r>
      <w:r w:rsidR="00123F87">
        <w:rPr>
          <w:rFonts w:ascii="Times New Roman" w:hAnsi="Times New Roman" w:cs="Times New Roman"/>
          <w:b/>
        </w:rPr>
        <w:t>5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063A4A" w:rsidRPr="002D105D" w:rsidTr="00682952">
        <w:trPr>
          <w:trHeight w:val="121"/>
        </w:trPr>
        <w:tc>
          <w:tcPr>
            <w:tcW w:w="8046" w:type="dxa"/>
          </w:tcPr>
          <w:p w:rsidR="00063A4A" w:rsidRPr="006A088F" w:rsidRDefault="00063A4A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63A4A" w:rsidRDefault="00063A4A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A7D6D" w:rsidRPr="002D105D" w:rsidTr="00682952">
        <w:trPr>
          <w:trHeight w:val="121"/>
        </w:trPr>
        <w:tc>
          <w:tcPr>
            <w:tcW w:w="8046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36B" w:rsidRDefault="002B136B" w:rsidP="00D51A49">
      <w:pPr>
        <w:spacing w:after="0" w:line="240" w:lineRule="auto"/>
      </w:pPr>
      <w:r>
        <w:separator/>
      </w:r>
    </w:p>
  </w:endnote>
  <w:endnote w:type="continuationSeparator" w:id="1">
    <w:p w:rsidR="002B136B" w:rsidRDefault="002B136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36B" w:rsidRDefault="002B136B" w:rsidP="00D51A49">
      <w:pPr>
        <w:spacing w:after="0" w:line="240" w:lineRule="auto"/>
      </w:pPr>
      <w:r>
        <w:separator/>
      </w:r>
    </w:p>
  </w:footnote>
  <w:footnote w:type="continuationSeparator" w:id="1">
    <w:p w:rsidR="002B136B" w:rsidRDefault="002B136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C7C3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136B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D79B5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E7B8E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231BF"/>
    <w:rsid w:val="00F23308"/>
    <w:rsid w:val="00F24E11"/>
    <w:rsid w:val="00F25A13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2023-05-23T11:08:00Z</dcterms:created>
  <dcterms:modified xsi:type="dcterms:W3CDTF">2023-05-23T11:08:00Z</dcterms:modified>
</cp:coreProperties>
</file>